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947CE6">
      <w:pPr>
        <w:jc w:val="center"/>
      </w:pPr>
      <w:r>
        <w:rPr>
          <w:rFonts w:ascii="Arial" w:hAnsi="Arial"/>
          <w:b/>
          <w:sz w:val="28"/>
        </w:rPr>
        <w:t>KISI-KISI SOAL MODEL TKA</w:t>
      </w:r>
    </w:p>
    <w:p w14:paraId="2CC7638C">
      <w:pPr>
        <w:spacing w:before="120" w:after="240"/>
        <w:rPr>
          <w:rFonts w:hint="default"/>
          <w:b/>
          <w:sz w:val="22"/>
          <w:lang w:val="en-US"/>
        </w:rPr>
      </w:pPr>
      <w:r>
        <w:rPr>
          <w:rFonts w:ascii="Arial" w:hAnsi="Arial"/>
          <w:b/>
          <w:sz w:val="22"/>
        </w:rPr>
        <w:t>Mata Pelajaran: Sosiologi</w:t>
      </w:r>
      <w:r>
        <w:rPr>
          <w:rFonts w:hint="default"/>
          <w:b/>
          <w:sz w:val="22"/>
          <w:lang w:val="en-US"/>
        </w:rPr>
        <w:tab/>
      </w:r>
      <w:r>
        <w:rPr>
          <w:rFonts w:hint="default"/>
          <w:b/>
          <w:sz w:val="22"/>
          <w:lang w:val="en-US"/>
        </w:rPr>
        <w:tab/>
      </w:r>
      <w:r>
        <w:rPr>
          <w:rFonts w:hint="default"/>
          <w:b/>
          <w:sz w:val="22"/>
          <w:lang w:val="en-US"/>
        </w:rPr>
        <w:tab/>
      </w:r>
      <w:r>
        <w:rPr>
          <w:rFonts w:hint="default"/>
          <w:b/>
          <w:sz w:val="22"/>
          <w:lang w:val="en-US"/>
        </w:rPr>
        <w:tab/>
      </w:r>
      <w:r>
        <w:rPr>
          <w:rFonts w:hint="default"/>
          <w:b/>
          <w:sz w:val="22"/>
          <w:lang w:val="en-US"/>
        </w:rPr>
        <w:tab/>
      </w:r>
      <w:r>
        <w:rPr>
          <w:rFonts w:hint="default"/>
          <w:b/>
          <w:sz w:val="22"/>
          <w:lang w:val="en-US"/>
        </w:rPr>
        <w:tab/>
      </w:r>
      <w:r>
        <w:rPr>
          <w:rFonts w:hint="default"/>
          <w:b/>
          <w:sz w:val="22"/>
          <w:lang w:val="en-US"/>
        </w:rPr>
        <w:tab/>
      </w:r>
      <w:r>
        <w:rPr>
          <w:rFonts w:hint="default"/>
          <w:b/>
          <w:sz w:val="22"/>
          <w:lang w:val="en-US"/>
        </w:rPr>
        <w:tab/>
      </w:r>
      <w:r>
        <w:rPr>
          <w:rFonts w:hint="default"/>
          <w:b/>
          <w:sz w:val="22"/>
          <w:lang w:val="en-US"/>
        </w:rPr>
        <w:t>Asal Sekolah : SMA Negeri 2 Langsa</w:t>
      </w:r>
    </w:p>
    <w:p w14:paraId="25065BBA">
      <w:pPr>
        <w:spacing w:before="120" w:after="240"/>
        <w:rPr>
          <w:rFonts w:hint="default"/>
          <w:b/>
          <w:sz w:val="22"/>
          <w:lang w:val="en-US"/>
        </w:rPr>
      </w:pPr>
      <w:r>
        <w:rPr>
          <w:rFonts w:hint="default"/>
          <w:b/>
          <w:sz w:val="22"/>
          <w:lang w:val="en-US"/>
        </w:rPr>
        <w:t>Penyusun : Zakia Tutdin, M.Sos</w:t>
      </w:r>
      <w:r>
        <w:rPr>
          <w:rFonts w:hint="default"/>
          <w:b/>
          <w:sz w:val="22"/>
          <w:lang w:val="en-US"/>
        </w:rPr>
        <w:tab/>
      </w:r>
      <w:r>
        <w:rPr>
          <w:rFonts w:hint="default"/>
          <w:b/>
          <w:sz w:val="22"/>
          <w:lang w:val="en-US"/>
        </w:rPr>
        <w:tab/>
      </w:r>
      <w:r>
        <w:rPr>
          <w:rFonts w:hint="default"/>
          <w:b/>
          <w:sz w:val="22"/>
          <w:lang w:val="en-US"/>
        </w:rPr>
        <w:tab/>
      </w:r>
      <w:r>
        <w:rPr>
          <w:rFonts w:hint="default"/>
          <w:b/>
          <w:sz w:val="22"/>
          <w:lang w:val="en-US"/>
        </w:rPr>
        <w:tab/>
      </w:r>
      <w:r>
        <w:rPr>
          <w:rFonts w:hint="default"/>
          <w:b/>
          <w:sz w:val="22"/>
          <w:lang w:val="en-US"/>
        </w:rPr>
        <w:tab/>
      </w:r>
      <w:r>
        <w:rPr>
          <w:rFonts w:hint="default"/>
          <w:b/>
          <w:sz w:val="22"/>
          <w:lang w:val="en-US"/>
        </w:rPr>
        <w:tab/>
      </w:r>
      <w:r>
        <w:rPr>
          <w:rFonts w:hint="default"/>
          <w:b/>
          <w:sz w:val="22"/>
          <w:lang w:val="en-US"/>
        </w:rPr>
        <w:tab/>
      </w:r>
      <w:r>
        <w:rPr>
          <w:rFonts w:hint="default"/>
          <w:b/>
          <w:sz w:val="22"/>
          <w:lang w:val="en-US"/>
        </w:rPr>
        <w:t>Fase / Kelas : F/ XII</w:t>
      </w:r>
    </w:p>
    <w:tbl>
      <w:tblPr>
        <w:tblStyle w:val="1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4"/>
        <w:gridCol w:w="1834"/>
        <w:gridCol w:w="1834"/>
        <w:gridCol w:w="1834"/>
        <w:gridCol w:w="1834"/>
        <w:gridCol w:w="1834"/>
        <w:gridCol w:w="1834"/>
        <w:gridCol w:w="1834"/>
      </w:tblGrid>
      <w:tr w14:paraId="294880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576" w:type="dxa"/>
            <w:shd w:val="clear" w:color="auto" w:fill="1F4E79"/>
            <w:vAlign w:val="center"/>
          </w:tcPr>
          <w:p w14:paraId="1F43620D"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No.</w:t>
            </w:r>
          </w:p>
        </w:tc>
        <w:tc>
          <w:tcPr>
            <w:tcW w:w="3312" w:type="dxa"/>
            <w:shd w:val="clear" w:color="auto" w:fill="1F4E79"/>
            <w:vAlign w:val="center"/>
          </w:tcPr>
          <w:p w14:paraId="42AB5DB7"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Tujuan Pembelajaran</w:t>
            </w:r>
          </w:p>
        </w:tc>
        <w:tc>
          <w:tcPr>
            <w:tcW w:w="2016" w:type="dxa"/>
            <w:shd w:val="clear" w:color="auto" w:fill="1F4E79"/>
            <w:vAlign w:val="center"/>
          </w:tcPr>
          <w:p w14:paraId="502CFAE3"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Materi</w:t>
            </w:r>
          </w:p>
        </w:tc>
        <w:tc>
          <w:tcPr>
            <w:tcW w:w="1008" w:type="dxa"/>
            <w:shd w:val="clear" w:color="auto" w:fill="1F4E79"/>
            <w:vAlign w:val="center"/>
          </w:tcPr>
          <w:p w14:paraId="135A5364"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Fase/ Kelas</w:t>
            </w:r>
          </w:p>
        </w:tc>
        <w:tc>
          <w:tcPr>
            <w:tcW w:w="3888" w:type="dxa"/>
            <w:shd w:val="clear" w:color="auto" w:fill="1F4E79"/>
            <w:vAlign w:val="center"/>
          </w:tcPr>
          <w:p w14:paraId="259FABF7"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Indikator Soal</w:t>
            </w:r>
          </w:p>
        </w:tc>
        <w:tc>
          <w:tcPr>
            <w:tcW w:w="1584" w:type="dxa"/>
            <w:shd w:val="clear" w:color="auto" w:fill="1F4E79"/>
            <w:vAlign w:val="center"/>
          </w:tcPr>
          <w:p w14:paraId="4FC64C6C"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Level Kognitif</w:t>
            </w:r>
          </w:p>
        </w:tc>
        <w:tc>
          <w:tcPr>
            <w:tcW w:w="1584" w:type="dxa"/>
            <w:shd w:val="clear" w:color="auto" w:fill="1F4E79"/>
            <w:vAlign w:val="center"/>
          </w:tcPr>
          <w:p w14:paraId="05B7BD8B"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Bentuk Soal</w:t>
            </w:r>
          </w:p>
        </w:tc>
        <w:tc>
          <w:tcPr>
            <w:tcW w:w="720" w:type="dxa"/>
            <w:shd w:val="clear" w:color="auto" w:fill="1F4E79"/>
            <w:vAlign w:val="center"/>
          </w:tcPr>
          <w:p w14:paraId="58094CC4"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No. Soal</w:t>
            </w:r>
          </w:p>
        </w:tc>
      </w:tr>
      <w:tr w14:paraId="7E61AF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6" w:type="dxa"/>
            <w:shd w:val="clear" w:color="auto" w:fill="FFFFFF"/>
            <w:vAlign w:val="center"/>
          </w:tcPr>
          <w:p w14:paraId="4BD4665C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1</w:t>
            </w:r>
          </w:p>
        </w:tc>
        <w:tc>
          <w:tcPr>
            <w:tcW w:w="3312" w:type="dxa"/>
            <w:shd w:val="clear" w:color="auto" w:fill="FFFFFF"/>
            <w:vAlign w:val="center"/>
          </w:tcPr>
          <w:p w14:paraId="02C2C89A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Peserta didik mampu mendeskripsikan konsep konflik sosial serta menganalisis bentuk konflik sosial berdasarkan kasus yang disajikan secara tepat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644ADA4F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Konflik Sosial dan Penanganan Konflik</w:t>
            </w:r>
          </w:p>
        </w:tc>
        <w:tc>
          <w:tcPr>
            <w:tcW w:w="1008" w:type="dxa"/>
            <w:shd w:val="clear" w:color="auto" w:fill="FFFFFF"/>
            <w:vAlign w:val="center"/>
          </w:tcPr>
          <w:p w14:paraId="56C7E08F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F/XII</w:t>
            </w:r>
          </w:p>
        </w:tc>
        <w:tc>
          <w:tcPr>
            <w:tcW w:w="3888" w:type="dxa"/>
            <w:shd w:val="clear" w:color="auto" w:fill="FFFFFF"/>
            <w:vAlign w:val="center"/>
          </w:tcPr>
          <w:p w14:paraId="419AC1E6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Disajikan ilustrasi kasus perbedaan kepentingan ekonomi antara kelompok masyarakat tradisional dan modern, murid dapat menganalisis bentuk konflik sosial yang terjadi dengan tepat</w:t>
            </w:r>
          </w:p>
        </w:tc>
        <w:tc>
          <w:tcPr>
            <w:tcW w:w="1584" w:type="dxa"/>
            <w:shd w:val="clear" w:color="auto" w:fill="FFFFFF"/>
            <w:vAlign w:val="center"/>
          </w:tcPr>
          <w:p w14:paraId="7B6ED310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L3 (penalaran) / C4</w:t>
            </w:r>
          </w:p>
        </w:tc>
        <w:tc>
          <w:tcPr>
            <w:tcW w:w="1584" w:type="dxa"/>
            <w:shd w:val="clear" w:color="auto" w:fill="FFFFFF"/>
            <w:vAlign w:val="center"/>
          </w:tcPr>
          <w:p w14:paraId="70B15767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Pilihan Ganda Kompleks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78870FF7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1</w:t>
            </w:r>
          </w:p>
        </w:tc>
      </w:tr>
      <w:tr w14:paraId="622AF1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6" w:type="dxa"/>
            <w:shd w:val="clear" w:color="auto" w:fill="F2F2F2"/>
            <w:vAlign w:val="center"/>
          </w:tcPr>
          <w:p w14:paraId="19F6314B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2</w:t>
            </w:r>
          </w:p>
        </w:tc>
        <w:tc>
          <w:tcPr>
            <w:tcW w:w="3312" w:type="dxa"/>
            <w:shd w:val="clear" w:color="auto" w:fill="F2F2F2"/>
            <w:vAlign w:val="center"/>
          </w:tcPr>
          <w:p w14:paraId="01EB25F5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Peserta didik mampu mendeskripsikan konsep konflik sosial serta menganalisis bentuk konflik sosial berdasarkan kasus yang disajikan secara tepat</w:t>
            </w:r>
          </w:p>
        </w:tc>
        <w:tc>
          <w:tcPr>
            <w:tcW w:w="2016" w:type="dxa"/>
            <w:shd w:val="clear" w:color="auto" w:fill="F2F2F2"/>
            <w:vAlign w:val="center"/>
          </w:tcPr>
          <w:p w14:paraId="0A140FF1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Konflik Sosial dan Penanganan Konflik</w:t>
            </w:r>
          </w:p>
        </w:tc>
        <w:tc>
          <w:tcPr>
            <w:tcW w:w="1008" w:type="dxa"/>
            <w:shd w:val="clear" w:color="auto" w:fill="F2F2F2"/>
            <w:vAlign w:val="center"/>
          </w:tcPr>
          <w:p w14:paraId="06834846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F/XII</w:t>
            </w:r>
          </w:p>
        </w:tc>
        <w:tc>
          <w:tcPr>
            <w:tcW w:w="3888" w:type="dxa"/>
            <w:shd w:val="clear" w:color="auto" w:fill="F2F2F2"/>
            <w:vAlign w:val="center"/>
          </w:tcPr>
          <w:p w14:paraId="79A77BE3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Disajikan narasi dinamika sosial di desa yang mengalami pergeseran nilai akibat modernisasi, murid dapat mengevaluasi peran dialog/mediasi dalam memicu perubahan sosial yang konstruktif</w:t>
            </w:r>
          </w:p>
        </w:tc>
        <w:tc>
          <w:tcPr>
            <w:tcW w:w="1584" w:type="dxa"/>
            <w:shd w:val="clear" w:color="auto" w:fill="F2F2F2"/>
            <w:vAlign w:val="center"/>
          </w:tcPr>
          <w:p w14:paraId="618D0F84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L3 (penalaran) / C5</w:t>
            </w:r>
          </w:p>
        </w:tc>
        <w:tc>
          <w:tcPr>
            <w:tcW w:w="1584" w:type="dxa"/>
            <w:shd w:val="clear" w:color="auto" w:fill="F2F2F2"/>
            <w:vAlign w:val="center"/>
          </w:tcPr>
          <w:p w14:paraId="00EC8F80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Pilihan Ganda Kompleks</w:t>
            </w:r>
          </w:p>
        </w:tc>
        <w:tc>
          <w:tcPr>
            <w:tcW w:w="720" w:type="dxa"/>
            <w:shd w:val="clear" w:color="auto" w:fill="F2F2F2"/>
            <w:vAlign w:val="center"/>
          </w:tcPr>
          <w:p w14:paraId="14AB7FDC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2</w:t>
            </w:r>
          </w:p>
        </w:tc>
      </w:tr>
      <w:tr w14:paraId="7C2BE3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6" w:type="dxa"/>
            <w:shd w:val="clear" w:color="auto" w:fill="FFFFFF"/>
            <w:vAlign w:val="center"/>
          </w:tcPr>
          <w:p w14:paraId="4D0EC770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3</w:t>
            </w:r>
          </w:p>
        </w:tc>
        <w:tc>
          <w:tcPr>
            <w:tcW w:w="3312" w:type="dxa"/>
            <w:shd w:val="clear" w:color="auto" w:fill="FFFFFF"/>
            <w:vAlign w:val="center"/>
          </w:tcPr>
          <w:p w14:paraId="1E4AFB0A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Peserta didik mampu menganalisis berbagai upaya dan strategi penanganan konflik sosial dalam masyarakat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20DC52D0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Konflik Sosial dan Penanganan Konflik</w:t>
            </w:r>
          </w:p>
        </w:tc>
        <w:tc>
          <w:tcPr>
            <w:tcW w:w="1008" w:type="dxa"/>
            <w:shd w:val="clear" w:color="auto" w:fill="FFFFFF"/>
            <w:vAlign w:val="center"/>
          </w:tcPr>
          <w:p w14:paraId="4382377A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F/XII</w:t>
            </w:r>
          </w:p>
        </w:tc>
        <w:tc>
          <w:tcPr>
            <w:tcW w:w="3888" w:type="dxa"/>
            <w:shd w:val="clear" w:color="auto" w:fill="FFFFFF"/>
            <w:vAlign w:val="center"/>
          </w:tcPr>
          <w:p w14:paraId="3E633B46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Disajikan konteks ketegangan antarkelompok kepentingan di perkotaan, murid dapat menentukan bentuk akomodasi atau penyelesaian konflik yang paling efektif</w:t>
            </w:r>
          </w:p>
        </w:tc>
        <w:tc>
          <w:tcPr>
            <w:tcW w:w="1584" w:type="dxa"/>
            <w:shd w:val="clear" w:color="auto" w:fill="FFFFFF"/>
            <w:vAlign w:val="center"/>
          </w:tcPr>
          <w:p w14:paraId="26EA32F7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L3 (penalaran) / C4</w:t>
            </w:r>
          </w:p>
        </w:tc>
        <w:tc>
          <w:tcPr>
            <w:tcW w:w="1584" w:type="dxa"/>
            <w:shd w:val="clear" w:color="auto" w:fill="FFFFFF"/>
            <w:vAlign w:val="center"/>
          </w:tcPr>
          <w:p w14:paraId="27ED20D5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Pilihan Ganda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6E52E104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3</w:t>
            </w:r>
          </w:p>
        </w:tc>
      </w:tr>
      <w:tr w14:paraId="687EEA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6" w:type="dxa"/>
            <w:shd w:val="clear" w:color="auto" w:fill="F2F2F2"/>
            <w:vAlign w:val="center"/>
          </w:tcPr>
          <w:p w14:paraId="11785D5E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4</w:t>
            </w:r>
          </w:p>
        </w:tc>
        <w:tc>
          <w:tcPr>
            <w:tcW w:w="3312" w:type="dxa"/>
            <w:shd w:val="clear" w:color="auto" w:fill="F2F2F2"/>
            <w:vAlign w:val="center"/>
          </w:tcPr>
          <w:p w14:paraId="756B4EF7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Peserta didik mampu menganalisis dampak konflik sosial terhadap integrasi dan perubahan sosial</w:t>
            </w:r>
          </w:p>
        </w:tc>
        <w:tc>
          <w:tcPr>
            <w:tcW w:w="2016" w:type="dxa"/>
            <w:shd w:val="clear" w:color="auto" w:fill="F2F2F2"/>
            <w:vAlign w:val="center"/>
          </w:tcPr>
          <w:p w14:paraId="098250CF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Konflik Sosial dan Penanganan Konflik</w:t>
            </w:r>
          </w:p>
        </w:tc>
        <w:tc>
          <w:tcPr>
            <w:tcW w:w="1008" w:type="dxa"/>
            <w:shd w:val="clear" w:color="auto" w:fill="F2F2F2"/>
            <w:vAlign w:val="center"/>
          </w:tcPr>
          <w:p w14:paraId="220D949B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F/XII</w:t>
            </w:r>
          </w:p>
        </w:tc>
        <w:tc>
          <w:tcPr>
            <w:tcW w:w="3888" w:type="dxa"/>
            <w:shd w:val="clear" w:color="auto" w:fill="F2F2F2"/>
            <w:vAlign w:val="center"/>
          </w:tcPr>
          <w:p w14:paraId="6A56CEF8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Disajikan data empiris peningkatan partisipasi masyarakat pasca-konflik, murid dapat menganalisis dampak positif konflik konstruktif terhadap struktur sosial</w:t>
            </w:r>
          </w:p>
        </w:tc>
        <w:tc>
          <w:tcPr>
            <w:tcW w:w="1584" w:type="dxa"/>
            <w:shd w:val="clear" w:color="auto" w:fill="F2F2F2"/>
            <w:vAlign w:val="center"/>
          </w:tcPr>
          <w:p w14:paraId="23A1FDD6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L3 (penalaran) / C4</w:t>
            </w:r>
          </w:p>
        </w:tc>
        <w:tc>
          <w:tcPr>
            <w:tcW w:w="1584" w:type="dxa"/>
            <w:shd w:val="clear" w:color="auto" w:fill="F2F2F2"/>
            <w:vAlign w:val="center"/>
          </w:tcPr>
          <w:p w14:paraId="11A9AEEC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Pilihan Ganda Kompleks</w:t>
            </w:r>
          </w:p>
        </w:tc>
        <w:tc>
          <w:tcPr>
            <w:tcW w:w="720" w:type="dxa"/>
            <w:shd w:val="clear" w:color="auto" w:fill="F2F2F2"/>
            <w:vAlign w:val="center"/>
          </w:tcPr>
          <w:p w14:paraId="5872E50A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4</w:t>
            </w:r>
          </w:p>
        </w:tc>
      </w:tr>
      <w:tr w14:paraId="5E0C9D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6" w:type="dxa"/>
            <w:shd w:val="clear" w:color="auto" w:fill="FFFFFF"/>
            <w:vAlign w:val="center"/>
          </w:tcPr>
          <w:p w14:paraId="30DDAC12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5</w:t>
            </w:r>
          </w:p>
        </w:tc>
        <w:tc>
          <w:tcPr>
            <w:tcW w:w="3312" w:type="dxa"/>
            <w:shd w:val="clear" w:color="auto" w:fill="FFFFFF"/>
            <w:vAlign w:val="center"/>
          </w:tcPr>
          <w:p w14:paraId="3F602913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Peserta didik mampu merumuskan rekomendasi pemecahan masalah konflik sosial berbasis kearifan lokal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2FD4B63F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Konflik Sosial dan Penanganan Konflik</w:t>
            </w:r>
          </w:p>
        </w:tc>
        <w:tc>
          <w:tcPr>
            <w:tcW w:w="1008" w:type="dxa"/>
            <w:shd w:val="clear" w:color="auto" w:fill="FFFFFF"/>
            <w:vAlign w:val="center"/>
          </w:tcPr>
          <w:p w14:paraId="7F385A32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F/XII</w:t>
            </w:r>
          </w:p>
        </w:tc>
        <w:tc>
          <w:tcPr>
            <w:tcW w:w="3888" w:type="dxa"/>
            <w:shd w:val="clear" w:color="auto" w:fill="FFFFFF"/>
            <w:vAlign w:val="center"/>
          </w:tcPr>
          <w:p w14:paraId="038BB197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Disajikan studi kasus konflik pemanfaatan sumber daya alam, murid dapat merekomendasikan solusi inklusif yang mengakomodasi kepentingan komunitas lokal</w:t>
            </w:r>
          </w:p>
        </w:tc>
        <w:tc>
          <w:tcPr>
            <w:tcW w:w="1584" w:type="dxa"/>
            <w:shd w:val="clear" w:color="auto" w:fill="FFFFFF"/>
            <w:vAlign w:val="center"/>
          </w:tcPr>
          <w:p w14:paraId="36798E3F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L3 (penalaran) / C6</w:t>
            </w:r>
          </w:p>
        </w:tc>
        <w:tc>
          <w:tcPr>
            <w:tcW w:w="1584" w:type="dxa"/>
            <w:shd w:val="clear" w:color="auto" w:fill="FFFFFF"/>
            <w:vAlign w:val="center"/>
          </w:tcPr>
          <w:p w14:paraId="2A7C87AA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Pilihan Ganda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713B1FB9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5</w:t>
            </w:r>
          </w:p>
        </w:tc>
      </w:tr>
      <w:tr w14:paraId="069A96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6" w:type="dxa"/>
            <w:shd w:val="clear" w:color="auto" w:fill="F2F2F2"/>
            <w:vAlign w:val="center"/>
          </w:tcPr>
          <w:p w14:paraId="23DA9A4C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6</w:t>
            </w:r>
          </w:p>
        </w:tc>
        <w:tc>
          <w:tcPr>
            <w:tcW w:w="3312" w:type="dxa"/>
            <w:shd w:val="clear" w:color="auto" w:fill="F2F2F2"/>
            <w:vAlign w:val="center"/>
          </w:tcPr>
          <w:p w14:paraId="67177AAE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Peserta didik mampu menjelaskan langkah dan metode penelitian sosial serta mengidentifikasi metode penelitian yang sesuai berdasarkan kasus</w:t>
            </w:r>
          </w:p>
        </w:tc>
        <w:tc>
          <w:tcPr>
            <w:tcW w:w="2016" w:type="dxa"/>
            <w:shd w:val="clear" w:color="auto" w:fill="F2F2F2"/>
            <w:vAlign w:val="center"/>
          </w:tcPr>
          <w:p w14:paraId="0D89E0C8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Metode dan Langkah Penelitian Sosial</w:t>
            </w:r>
          </w:p>
        </w:tc>
        <w:tc>
          <w:tcPr>
            <w:tcW w:w="1008" w:type="dxa"/>
            <w:shd w:val="clear" w:color="auto" w:fill="F2F2F2"/>
            <w:vAlign w:val="center"/>
          </w:tcPr>
          <w:p w14:paraId="2956185B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F/XII</w:t>
            </w:r>
          </w:p>
        </w:tc>
        <w:tc>
          <w:tcPr>
            <w:tcW w:w="3888" w:type="dxa"/>
            <w:shd w:val="clear" w:color="auto" w:fill="F2F2F2"/>
            <w:vAlign w:val="center"/>
          </w:tcPr>
          <w:p w14:paraId="13871E6B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Disajikan studi kasus penelitian tentang pengaruh penggunaan media sosial terhadap kenakalan remaja, murid dapat menentukan metode penelitian dan teknik sampling yang sesuai</w:t>
            </w:r>
          </w:p>
        </w:tc>
        <w:tc>
          <w:tcPr>
            <w:tcW w:w="1584" w:type="dxa"/>
            <w:shd w:val="clear" w:color="auto" w:fill="F2F2F2"/>
            <w:vAlign w:val="center"/>
          </w:tcPr>
          <w:p w14:paraId="44C91BC0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L3 (penalaran) / C4</w:t>
            </w:r>
          </w:p>
        </w:tc>
        <w:tc>
          <w:tcPr>
            <w:tcW w:w="1584" w:type="dxa"/>
            <w:shd w:val="clear" w:color="auto" w:fill="F2F2F2"/>
            <w:vAlign w:val="center"/>
          </w:tcPr>
          <w:p w14:paraId="44715129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Pilihan Ganda Kompleks</w:t>
            </w:r>
          </w:p>
        </w:tc>
        <w:tc>
          <w:tcPr>
            <w:tcW w:w="720" w:type="dxa"/>
            <w:shd w:val="clear" w:color="auto" w:fill="F2F2F2"/>
            <w:vAlign w:val="center"/>
          </w:tcPr>
          <w:p w14:paraId="5CD76ED7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6</w:t>
            </w:r>
          </w:p>
        </w:tc>
      </w:tr>
      <w:tr w14:paraId="2BD37A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6" w:type="dxa"/>
            <w:shd w:val="clear" w:color="auto" w:fill="FFFFFF"/>
            <w:vAlign w:val="center"/>
          </w:tcPr>
          <w:p w14:paraId="5731E5DD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7</w:t>
            </w:r>
          </w:p>
        </w:tc>
        <w:tc>
          <w:tcPr>
            <w:tcW w:w="3312" w:type="dxa"/>
            <w:shd w:val="clear" w:color="auto" w:fill="FFFFFF"/>
            <w:vAlign w:val="center"/>
          </w:tcPr>
          <w:p w14:paraId="5AD57251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Peserta didik mampu mengidentifikasi dan memilih teknik pengumpulan data penelitian sosial yang valid sesuai fenomena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47C7C50F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Metode dan Langkah Penelitian Sosial</w:t>
            </w:r>
          </w:p>
        </w:tc>
        <w:tc>
          <w:tcPr>
            <w:tcW w:w="1008" w:type="dxa"/>
            <w:shd w:val="clear" w:color="auto" w:fill="FFFFFF"/>
            <w:vAlign w:val="center"/>
          </w:tcPr>
          <w:p w14:paraId="70865875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F/XII</w:t>
            </w:r>
          </w:p>
        </w:tc>
        <w:tc>
          <w:tcPr>
            <w:tcW w:w="3888" w:type="dxa"/>
            <w:shd w:val="clear" w:color="auto" w:fill="FFFFFF"/>
            <w:vAlign w:val="center"/>
          </w:tcPr>
          <w:p w14:paraId="527869A2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Disajikan ilustrasi penelitian perilaku perundungan di sekolah, murid dapat menganalisis sikap objektivitas peneliti dalam menyajikan fakta lapangan</w:t>
            </w:r>
          </w:p>
        </w:tc>
        <w:tc>
          <w:tcPr>
            <w:tcW w:w="1584" w:type="dxa"/>
            <w:shd w:val="clear" w:color="auto" w:fill="FFFFFF"/>
            <w:vAlign w:val="center"/>
          </w:tcPr>
          <w:p w14:paraId="0E7024EB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L3 (penalaran) / C4</w:t>
            </w:r>
          </w:p>
        </w:tc>
        <w:tc>
          <w:tcPr>
            <w:tcW w:w="1584" w:type="dxa"/>
            <w:shd w:val="clear" w:color="auto" w:fill="FFFFFF"/>
            <w:vAlign w:val="center"/>
          </w:tcPr>
          <w:p w14:paraId="3BA11ED1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Pilihan Ganda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3641A990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7</w:t>
            </w:r>
          </w:p>
        </w:tc>
      </w:tr>
      <w:tr w14:paraId="653488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6" w:type="dxa"/>
            <w:shd w:val="clear" w:color="auto" w:fill="F2F2F2"/>
            <w:vAlign w:val="center"/>
          </w:tcPr>
          <w:p w14:paraId="4CD19BD6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8</w:t>
            </w:r>
          </w:p>
        </w:tc>
        <w:tc>
          <w:tcPr>
            <w:tcW w:w="3312" w:type="dxa"/>
            <w:shd w:val="clear" w:color="auto" w:fill="F2F2F2"/>
            <w:vAlign w:val="center"/>
          </w:tcPr>
          <w:p w14:paraId="67C1BDB2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Peserta didik mampu mengevaluasi kelebihan dan kekurangan teknik sampling dalam penelitian kuantitatif maupun kualitatif</w:t>
            </w:r>
          </w:p>
        </w:tc>
        <w:tc>
          <w:tcPr>
            <w:tcW w:w="2016" w:type="dxa"/>
            <w:shd w:val="clear" w:color="auto" w:fill="F2F2F2"/>
            <w:vAlign w:val="center"/>
          </w:tcPr>
          <w:p w14:paraId="56FD7CA0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Metode dan Langkah Penelitian Sosial</w:t>
            </w:r>
          </w:p>
        </w:tc>
        <w:tc>
          <w:tcPr>
            <w:tcW w:w="1008" w:type="dxa"/>
            <w:shd w:val="clear" w:color="auto" w:fill="F2F2F2"/>
            <w:vAlign w:val="center"/>
          </w:tcPr>
          <w:p w14:paraId="7EBCCCBF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F/XII</w:t>
            </w:r>
          </w:p>
        </w:tc>
        <w:tc>
          <w:tcPr>
            <w:tcW w:w="3888" w:type="dxa"/>
            <w:shd w:val="clear" w:color="auto" w:fill="F2F2F2"/>
            <w:vAlign w:val="center"/>
          </w:tcPr>
          <w:p w14:paraId="22C4F368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Disajikan deskripsi populasi dan kriteria responden penelitian sosial, murid dapat mengevaluasi ketepatan penggunaan purposive sampling</w:t>
            </w:r>
          </w:p>
        </w:tc>
        <w:tc>
          <w:tcPr>
            <w:tcW w:w="1584" w:type="dxa"/>
            <w:shd w:val="clear" w:color="auto" w:fill="F2F2F2"/>
            <w:vAlign w:val="center"/>
          </w:tcPr>
          <w:p w14:paraId="4A76D5FF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L3 (penalaran) / C5</w:t>
            </w:r>
          </w:p>
        </w:tc>
        <w:tc>
          <w:tcPr>
            <w:tcW w:w="1584" w:type="dxa"/>
            <w:shd w:val="clear" w:color="auto" w:fill="F2F2F2"/>
            <w:vAlign w:val="center"/>
          </w:tcPr>
          <w:p w14:paraId="4CF0A77A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Pilihan Ganda Kompleks</w:t>
            </w:r>
          </w:p>
        </w:tc>
        <w:tc>
          <w:tcPr>
            <w:tcW w:w="720" w:type="dxa"/>
            <w:shd w:val="clear" w:color="auto" w:fill="F2F2F2"/>
            <w:vAlign w:val="center"/>
          </w:tcPr>
          <w:p w14:paraId="22AD2EEF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8</w:t>
            </w:r>
          </w:p>
        </w:tc>
      </w:tr>
      <w:tr w14:paraId="68361E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6" w:type="dxa"/>
            <w:shd w:val="clear" w:color="auto" w:fill="FFFFFF"/>
            <w:vAlign w:val="center"/>
          </w:tcPr>
          <w:p w14:paraId="66527DC4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9</w:t>
            </w:r>
          </w:p>
        </w:tc>
        <w:tc>
          <w:tcPr>
            <w:tcW w:w="3312" w:type="dxa"/>
            <w:shd w:val="clear" w:color="auto" w:fill="FFFFFF"/>
            <w:vAlign w:val="center"/>
          </w:tcPr>
          <w:p w14:paraId="2369C52C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Peserta didik mampu merumuskan instrumen penelitian sosial yang relevan untuk menggali fenomena sosial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3D230CF5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Metode dan Langkah Penelitian Sosial</w:t>
            </w:r>
          </w:p>
        </w:tc>
        <w:tc>
          <w:tcPr>
            <w:tcW w:w="1008" w:type="dxa"/>
            <w:shd w:val="clear" w:color="auto" w:fill="FFFFFF"/>
            <w:vAlign w:val="center"/>
          </w:tcPr>
          <w:p w14:paraId="0297CC46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F/XII</w:t>
            </w:r>
          </w:p>
        </w:tc>
        <w:tc>
          <w:tcPr>
            <w:tcW w:w="3888" w:type="dxa"/>
            <w:shd w:val="clear" w:color="auto" w:fill="FFFFFF"/>
            <w:vAlign w:val="center"/>
          </w:tcPr>
          <w:p w14:paraId="0A269540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Disajikan masalah sosial mengenai pengemis anak di ruang publik, murid dapat menentukan kombinasi teknik pengumpulan data (observasi &amp; wawancara) yang paling valid</w:t>
            </w:r>
          </w:p>
        </w:tc>
        <w:tc>
          <w:tcPr>
            <w:tcW w:w="1584" w:type="dxa"/>
            <w:shd w:val="clear" w:color="auto" w:fill="FFFFFF"/>
            <w:vAlign w:val="center"/>
          </w:tcPr>
          <w:p w14:paraId="78A02542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L3 (penalaran) / C4</w:t>
            </w:r>
          </w:p>
        </w:tc>
        <w:tc>
          <w:tcPr>
            <w:tcW w:w="1584" w:type="dxa"/>
            <w:shd w:val="clear" w:color="auto" w:fill="FFFFFF"/>
            <w:vAlign w:val="center"/>
          </w:tcPr>
          <w:p w14:paraId="37CEAAA1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Pilihan Ganda Kompleks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6965EE24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9</w:t>
            </w:r>
          </w:p>
        </w:tc>
      </w:tr>
      <w:tr w14:paraId="2BA4CD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6" w:type="dxa"/>
            <w:shd w:val="clear" w:color="auto" w:fill="F2F2F2"/>
            <w:vAlign w:val="center"/>
          </w:tcPr>
          <w:p w14:paraId="0415589A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10</w:t>
            </w:r>
          </w:p>
        </w:tc>
        <w:tc>
          <w:tcPr>
            <w:tcW w:w="3312" w:type="dxa"/>
            <w:shd w:val="clear" w:color="auto" w:fill="F2F2F2"/>
            <w:vAlign w:val="center"/>
          </w:tcPr>
          <w:p w14:paraId="203AF5F1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Peserta didik mampu menyusun langkah-langkah pengolahan dan analisis data penelitian sosial secara sistematis</w:t>
            </w:r>
          </w:p>
        </w:tc>
        <w:tc>
          <w:tcPr>
            <w:tcW w:w="2016" w:type="dxa"/>
            <w:shd w:val="clear" w:color="auto" w:fill="F2F2F2"/>
            <w:vAlign w:val="center"/>
          </w:tcPr>
          <w:p w14:paraId="30BE3B9E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Metode dan Langkah Penelitian Sosial</w:t>
            </w:r>
          </w:p>
        </w:tc>
        <w:tc>
          <w:tcPr>
            <w:tcW w:w="1008" w:type="dxa"/>
            <w:shd w:val="clear" w:color="auto" w:fill="F2F2F2"/>
            <w:vAlign w:val="center"/>
          </w:tcPr>
          <w:p w14:paraId="2B221279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F/XII</w:t>
            </w:r>
          </w:p>
        </w:tc>
        <w:tc>
          <w:tcPr>
            <w:tcW w:w="3888" w:type="dxa"/>
            <w:shd w:val="clear" w:color="auto" w:fill="F2F2F2"/>
            <w:vAlign w:val="center"/>
          </w:tcPr>
          <w:p w14:paraId="3CF03905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Disajikan data kualitatif dan kuantitatif hasil penelitian, murid dapat merumuskan tahapan verifikasi dan interpretasi data yang logis</w:t>
            </w:r>
          </w:p>
        </w:tc>
        <w:tc>
          <w:tcPr>
            <w:tcW w:w="1584" w:type="dxa"/>
            <w:shd w:val="clear" w:color="auto" w:fill="F2F2F2"/>
            <w:vAlign w:val="center"/>
          </w:tcPr>
          <w:p w14:paraId="3F11800C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L3 (penalaran) / C6</w:t>
            </w:r>
          </w:p>
        </w:tc>
        <w:tc>
          <w:tcPr>
            <w:tcW w:w="1584" w:type="dxa"/>
            <w:shd w:val="clear" w:color="auto" w:fill="F2F2F2"/>
            <w:vAlign w:val="center"/>
          </w:tcPr>
          <w:p w14:paraId="5E94DF38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Pilihan Ganda</w:t>
            </w:r>
          </w:p>
        </w:tc>
        <w:tc>
          <w:tcPr>
            <w:tcW w:w="720" w:type="dxa"/>
            <w:shd w:val="clear" w:color="auto" w:fill="F2F2F2"/>
            <w:vAlign w:val="center"/>
          </w:tcPr>
          <w:p w14:paraId="5FF81F0A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10</w:t>
            </w:r>
          </w:p>
        </w:tc>
      </w:tr>
      <w:tr w14:paraId="3AD699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6" w:type="dxa"/>
            <w:shd w:val="clear" w:color="auto" w:fill="FFFFFF"/>
            <w:vAlign w:val="center"/>
          </w:tcPr>
          <w:p w14:paraId="3444D1E7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11</w:t>
            </w:r>
          </w:p>
        </w:tc>
        <w:tc>
          <w:tcPr>
            <w:tcW w:w="3312" w:type="dxa"/>
            <w:shd w:val="clear" w:color="auto" w:fill="FFFFFF"/>
            <w:vAlign w:val="center"/>
          </w:tcPr>
          <w:p w14:paraId="6F8C2B7E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Peserta didik mampu mengevaluasi ciri-ciri masyarakat multikultural melalui analisis peristiwa sejarah/sosial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110BDEFD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Masyarakat Multikultural</w:t>
            </w:r>
          </w:p>
        </w:tc>
        <w:tc>
          <w:tcPr>
            <w:tcW w:w="1008" w:type="dxa"/>
            <w:shd w:val="clear" w:color="auto" w:fill="FFFFFF"/>
            <w:vAlign w:val="center"/>
          </w:tcPr>
          <w:p w14:paraId="64030CD9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F/XII</w:t>
            </w:r>
          </w:p>
        </w:tc>
        <w:tc>
          <w:tcPr>
            <w:tcW w:w="3888" w:type="dxa"/>
            <w:shd w:val="clear" w:color="auto" w:fill="FFFFFF"/>
            <w:vAlign w:val="center"/>
          </w:tcPr>
          <w:p w14:paraId="0BE349AD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Disajikan artikel tentang pergerakan nasional Sumpah Pemuda 1928, murid dapat mengevaluasi alasan peristiwa tersebut dikategorikan sebagai simbol multikulturalisme</w:t>
            </w:r>
          </w:p>
        </w:tc>
        <w:tc>
          <w:tcPr>
            <w:tcW w:w="1584" w:type="dxa"/>
            <w:shd w:val="clear" w:color="auto" w:fill="FFFFFF"/>
            <w:vAlign w:val="center"/>
          </w:tcPr>
          <w:p w14:paraId="23DAC77B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L3 (penalaran) / C5</w:t>
            </w:r>
          </w:p>
        </w:tc>
        <w:tc>
          <w:tcPr>
            <w:tcW w:w="1584" w:type="dxa"/>
            <w:shd w:val="clear" w:color="auto" w:fill="FFFFFF"/>
            <w:vAlign w:val="center"/>
          </w:tcPr>
          <w:p w14:paraId="60EF5E8A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Pilihan Ganda Kompleks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0D3D8DED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11</w:t>
            </w:r>
          </w:p>
        </w:tc>
      </w:tr>
      <w:tr w14:paraId="445884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6" w:type="dxa"/>
            <w:shd w:val="clear" w:color="auto" w:fill="F2F2F2"/>
            <w:vAlign w:val="center"/>
          </w:tcPr>
          <w:p w14:paraId="64F51727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12</w:t>
            </w:r>
          </w:p>
        </w:tc>
        <w:tc>
          <w:tcPr>
            <w:tcW w:w="3312" w:type="dxa"/>
            <w:shd w:val="clear" w:color="auto" w:fill="F2F2F2"/>
            <w:vAlign w:val="center"/>
          </w:tcPr>
          <w:p w14:paraId="26222AA1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Peserta didik mampu menganalisis dinamika interaksi sosial dalam masyarakat multikultural di era digital</w:t>
            </w:r>
          </w:p>
        </w:tc>
        <w:tc>
          <w:tcPr>
            <w:tcW w:w="2016" w:type="dxa"/>
            <w:shd w:val="clear" w:color="auto" w:fill="F2F2F2"/>
            <w:vAlign w:val="center"/>
          </w:tcPr>
          <w:p w14:paraId="54FF1AB7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Masyarakat Multikultural</w:t>
            </w:r>
          </w:p>
        </w:tc>
        <w:tc>
          <w:tcPr>
            <w:tcW w:w="1008" w:type="dxa"/>
            <w:shd w:val="clear" w:color="auto" w:fill="F2F2F2"/>
            <w:vAlign w:val="center"/>
          </w:tcPr>
          <w:p w14:paraId="4C3149DD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F/XII</w:t>
            </w:r>
          </w:p>
        </w:tc>
        <w:tc>
          <w:tcPr>
            <w:tcW w:w="3888" w:type="dxa"/>
            <w:shd w:val="clear" w:color="auto" w:fill="F2F2F2"/>
            <w:vAlign w:val="center"/>
          </w:tcPr>
          <w:p w14:paraId="78573DB7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Disajikan tabel data penerimaan budaya asing dan nilai toleransi di perkotaan, murid dapat menganalisis ciri masyarakat multikultural yang tetap menjaga budaya lokal</w:t>
            </w:r>
          </w:p>
        </w:tc>
        <w:tc>
          <w:tcPr>
            <w:tcW w:w="1584" w:type="dxa"/>
            <w:shd w:val="clear" w:color="auto" w:fill="F2F2F2"/>
            <w:vAlign w:val="center"/>
          </w:tcPr>
          <w:p w14:paraId="719D96DB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L3 (penalaran) / C4</w:t>
            </w:r>
          </w:p>
        </w:tc>
        <w:tc>
          <w:tcPr>
            <w:tcW w:w="1584" w:type="dxa"/>
            <w:shd w:val="clear" w:color="auto" w:fill="F2F2F2"/>
            <w:vAlign w:val="center"/>
          </w:tcPr>
          <w:p w14:paraId="7A6CBF90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Pilihan Ganda Kompleks</w:t>
            </w:r>
          </w:p>
        </w:tc>
        <w:tc>
          <w:tcPr>
            <w:tcW w:w="720" w:type="dxa"/>
            <w:shd w:val="clear" w:color="auto" w:fill="F2F2F2"/>
            <w:vAlign w:val="center"/>
          </w:tcPr>
          <w:p w14:paraId="3417D89C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12</w:t>
            </w:r>
          </w:p>
        </w:tc>
      </w:tr>
      <w:tr w14:paraId="58777F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6" w:type="dxa"/>
            <w:shd w:val="clear" w:color="auto" w:fill="FFFFFF"/>
            <w:vAlign w:val="center"/>
          </w:tcPr>
          <w:p w14:paraId="7235EEB9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13</w:t>
            </w:r>
          </w:p>
        </w:tc>
        <w:tc>
          <w:tcPr>
            <w:tcW w:w="3312" w:type="dxa"/>
            <w:shd w:val="clear" w:color="auto" w:fill="FFFFFF"/>
            <w:vAlign w:val="center"/>
          </w:tcPr>
          <w:p w14:paraId="1D2E5EBC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Peserta didik mampu mengevaluasi prinsip kesetaraan dan inklusivitas dalam menjaga harmoni multikultural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1155BCEF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Masyarakat Multikultural</w:t>
            </w:r>
          </w:p>
        </w:tc>
        <w:tc>
          <w:tcPr>
            <w:tcW w:w="1008" w:type="dxa"/>
            <w:shd w:val="clear" w:color="auto" w:fill="FFFFFF"/>
            <w:vAlign w:val="center"/>
          </w:tcPr>
          <w:p w14:paraId="71C9C18A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F/XII</w:t>
            </w:r>
          </w:p>
        </w:tc>
        <w:tc>
          <w:tcPr>
            <w:tcW w:w="3888" w:type="dxa"/>
            <w:shd w:val="clear" w:color="auto" w:fill="FFFFFF"/>
            <w:vAlign w:val="center"/>
          </w:tcPr>
          <w:p w14:paraId="615187EF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Disajikan fenomena budaya hibrida di kalangan generasi muda, murid dapat mengevaluasi penerapan prinsip heterogenitas yang sederajat dalam kehidupan berbangsa</w:t>
            </w:r>
          </w:p>
        </w:tc>
        <w:tc>
          <w:tcPr>
            <w:tcW w:w="1584" w:type="dxa"/>
            <w:shd w:val="clear" w:color="auto" w:fill="FFFFFF"/>
            <w:vAlign w:val="center"/>
          </w:tcPr>
          <w:p w14:paraId="380A2542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L3 (penalaran) / C5</w:t>
            </w:r>
          </w:p>
        </w:tc>
        <w:tc>
          <w:tcPr>
            <w:tcW w:w="1584" w:type="dxa"/>
            <w:shd w:val="clear" w:color="auto" w:fill="FFFFFF"/>
            <w:vAlign w:val="center"/>
          </w:tcPr>
          <w:p w14:paraId="5B05E1F2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Pilihan Ganda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183A2215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13</w:t>
            </w:r>
          </w:p>
        </w:tc>
      </w:tr>
      <w:tr w14:paraId="308BB7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6" w:type="dxa"/>
            <w:shd w:val="clear" w:color="auto" w:fill="F2F2F2"/>
            <w:vAlign w:val="center"/>
          </w:tcPr>
          <w:p w14:paraId="1B0F3D3E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14</w:t>
            </w:r>
          </w:p>
        </w:tc>
        <w:tc>
          <w:tcPr>
            <w:tcW w:w="3312" w:type="dxa"/>
            <w:shd w:val="clear" w:color="auto" w:fill="F2F2F2"/>
            <w:vAlign w:val="center"/>
          </w:tcPr>
          <w:p w14:paraId="5B738AD9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Peserta didik mampu menganalisis potensi konflik primordial dan upaya penguatan integrasi sosial multikultural</w:t>
            </w:r>
          </w:p>
        </w:tc>
        <w:tc>
          <w:tcPr>
            <w:tcW w:w="2016" w:type="dxa"/>
            <w:shd w:val="clear" w:color="auto" w:fill="F2F2F2"/>
            <w:vAlign w:val="center"/>
          </w:tcPr>
          <w:p w14:paraId="19D2F97D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Masyarakat Multikultural</w:t>
            </w:r>
          </w:p>
        </w:tc>
        <w:tc>
          <w:tcPr>
            <w:tcW w:w="1008" w:type="dxa"/>
            <w:shd w:val="clear" w:color="auto" w:fill="F2F2F2"/>
            <w:vAlign w:val="center"/>
          </w:tcPr>
          <w:p w14:paraId="573225A2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F/XII</w:t>
            </w:r>
          </w:p>
        </w:tc>
        <w:tc>
          <w:tcPr>
            <w:tcW w:w="3888" w:type="dxa"/>
            <w:shd w:val="clear" w:color="auto" w:fill="F2F2F2"/>
            <w:vAlign w:val="center"/>
          </w:tcPr>
          <w:p w14:paraId="4646EDE2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Disajikan kasus benturan norma antar etnik di kawasan permukiman heterogen, murid dapat menentukan strategi penguatan konsolidasi sosial yang efektif</w:t>
            </w:r>
          </w:p>
        </w:tc>
        <w:tc>
          <w:tcPr>
            <w:tcW w:w="1584" w:type="dxa"/>
            <w:shd w:val="clear" w:color="auto" w:fill="F2F2F2"/>
            <w:vAlign w:val="center"/>
          </w:tcPr>
          <w:p w14:paraId="0445800E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L3 (penalaran) / C4</w:t>
            </w:r>
          </w:p>
        </w:tc>
        <w:tc>
          <w:tcPr>
            <w:tcW w:w="1584" w:type="dxa"/>
            <w:shd w:val="clear" w:color="auto" w:fill="F2F2F2"/>
            <w:vAlign w:val="center"/>
          </w:tcPr>
          <w:p w14:paraId="741C166A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Pilihan Ganda Kompleks</w:t>
            </w:r>
          </w:p>
        </w:tc>
        <w:tc>
          <w:tcPr>
            <w:tcW w:w="720" w:type="dxa"/>
            <w:shd w:val="clear" w:color="auto" w:fill="F2F2F2"/>
            <w:vAlign w:val="center"/>
          </w:tcPr>
          <w:p w14:paraId="24FB33CD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14</w:t>
            </w:r>
          </w:p>
        </w:tc>
      </w:tr>
      <w:tr w14:paraId="00DB38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6" w:type="dxa"/>
            <w:shd w:val="clear" w:color="auto" w:fill="FFFFFF"/>
            <w:vAlign w:val="center"/>
          </w:tcPr>
          <w:p w14:paraId="6D59167B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15</w:t>
            </w:r>
          </w:p>
        </w:tc>
        <w:tc>
          <w:tcPr>
            <w:tcW w:w="3312" w:type="dxa"/>
            <w:shd w:val="clear" w:color="auto" w:fill="FFFFFF"/>
            <w:vAlign w:val="center"/>
          </w:tcPr>
          <w:p w14:paraId="2042C8BA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Peserta didik mampu merancang bentuk tindakan inklusif untuk merekatkan persatuan dalam masyarakat multikultural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61095145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Masyarakat Multikultural</w:t>
            </w:r>
          </w:p>
        </w:tc>
        <w:tc>
          <w:tcPr>
            <w:tcW w:w="1008" w:type="dxa"/>
            <w:shd w:val="clear" w:color="auto" w:fill="FFFFFF"/>
            <w:vAlign w:val="center"/>
          </w:tcPr>
          <w:p w14:paraId="0E9715F7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F/XII</w:t>
            </w:r>
          </w:p>
        </w:tc>
        <w:tc>
          <w:tcPr>
            <w:tcW w:w="3888" w:type="dxa"/>
            <w:shd w:val="clear" w:color="auto" w:fill="FFFFFF"/>
            <w:vAlign w:val="center"/>
          </w:tcPr>
          <w:p w14:paraId="1034F893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Disajikan situasi perbedaan preferensi sosial-budaya di lingkungan sekolah, murid dapat merancang kegiatan bersama yang mencerminkan semangat multikulturalisme</w:t>
            </w:r>
          </w:p>
        </w:tc>
        <w:tc>
          <w:tcPr>
            <w:tcW w:w="1584" w:type="dxa"/>
            <w:shd w:val="clear" w:color="auto" w:fill="FFFFFF"/>
            <w:vAlign w:val="center"/>
          </w:tcPr>
          <w:p w14:paraId="6986B0FA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L3 (penalaran) / C6</w:t>
            </w:r>
          </w:p>
        </w:tc>
        <w:tc>
          <w:tcPr>
            <w:tcW w:w="1584" w:type="dxa"/>
            <w:shd w:val="clear" w:color="auto" w:fill="FFFFFF"/>
            <w:vAlign w:val="center"/>
          </w:tcPr>
          <w:p w14:paraId="6DC57399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Pilihan Ganda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5ECBF2AD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15</w:t>
            </w:r>
          </w:p>
        </w:tc>
      </w:tr>
      <w:tr w14:paraId="7721D8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6" w:type="dxa"/>
            <w:shd w:val="clear" w:color="auto" w:fill="F2F2F2"/>
            <w:vAlign w:val="center"/>
          </w:tcPr>
          <w:p w14:paraId="5CAF0595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16</w:t>
            </w:r>
          </w:p>
        </w:tc>
        <w:tc>
          <w:tcPr>
            <w:tcW w:w="3312" w:type="dxa"/>
            <w:shd w:val="clear" w:color="auto" w:fill="F2F2F2"/>
            <w:vAlign w:val="center"/>
          </w:tcPr>
          <w:p w14:paraId="7F39518B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Peserta didik mampu mengevaluasi manfaat hasil penelitian sosial berbasis ilustrasi kasus permasalahan masyarakat</w:t>
            </w:r>
          </w:p>
        </w:tc>
        <w:tc>
          <w:tcPr>
            <w:tcW w:w="2016" w:type="dxa"/>
            <w:shd w:val="clear" w:color="auto" w:fill="F2F2F2"/>
            <w:vAlign w:val="center"/>
          </w:tcPr>
          <w:p w14:paraId="5AFED735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Fungsi dan Manfaat Penelitian Sosial</w:t>
            </w:r>
          </w:p>
        </w:tc>
        <w:tc>
          <w:tcPr>
            <w:tcW w:w="1008" w:type="dxa"/>
            <w:shd w:val="clear" w:color="auto" w:fill="F2F2F2"/>
            <w:vAlign w:val="center"/>
          </w:tcPr>
          <w:p w14:paraId="170C23A6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F/XII</w:t>
            </w:r>
          </w:p>
        </w:tc>
        <w:tc>
          <w:tcPr>
            <w:tcW w:w="3888" w:type="dxa"/>
            <w:shd w:val="clear" w:color="auto" w:fill="F2F2F2"/>
            <w:vAlign w:val="center"/>
          </w:tcPr>
          <w:p w14:paraId="5DCD3F10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Disajikan teks penelitian fenomena pengemis anak, murid dapat mengevaluasi kontribusi hasil penelitian sosial sebagai dasar pengambilan kebijakan pemerintah</w:t>
            </w:r>
          </w:p>
        </w:tc>
        <w:tc>
          <w:tcPr>
            <w:tcW w:w="1584" w:type="dxa"/>
            <w:shd w:val="clear" w:color="auto" w:fill="F2F2F2"/>
            <w:vAlign w:val="center"/>
          </w:tcPr>
          <w:p w14:paraId="70B34FD1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L3 (penalaran) / C5</w:t>
            </w:r>
          </w:p>
        </w:tc>
        <w:tc>
          <w:tcPr>
            <w:tcW w:w="1584" w:type="dxa"/>
            <w:shd w:val="clear" w:color="auto" w:fill="F2F2F2"/>
            <w:vAlign w:val="center"/>
          </w:tcPr>
          <w:p w14:paraId="5BE4667D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Pilihan Ganda Kompleks</w:t>
            </w:r>
          </w:p>
        </w:tc>
        <w:tc>
          <w:tcPr>
            <w:tcW w:w="720" w:type="dxa"/>
            <w:shd w:val="clear" w:color="auto" w:fill="F2F2F2"/>
            <w:vAlign w:val="center"/>
          </w:tcPr>
          <w:p w14:paraId="5051D18D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16</w:t>
            </w:r>
          </w:p>
        </w:tc>
      </w:tr>
      <w:tr w14:paraId="7A5D4C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6" w:type="dxa"/>
            <w:shd w:val="clear" w:color="auto" w:fill="FFFFFF"/>
            <w:vAlign w:val="center"/>
          </w:tcPr>
          <w:p w14:paraId="35CF4BE8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17</w:t>
            </w:r>
          </w:p>
        </w:tc>
        <w:tc>
          <w:tcPr>
            <w:tcW w:w="3312" w:type="dxa"/>
            <w:shd w:val="clear" w:color="auto" w:fill="FFFFFF"/>
            <w:vAlign w:val="center"/>
          </w:tcPr>
          <w:p w14:paraId="4983863E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Peserta didik mampu menganalisis fungsi penelitian sosial dalam memetakan kendala operasional program pemberdayaan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023016F5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Fungsi dan Manfaat Penelitian Sosial</w:t>
            </w:r>
          </w:p>
        </w:tc>
        <w:tc>
          <w:tcPr>
            <w:tcW w:w="1008" w:type="dxa"/>
            <w:shd w:val="clear" w:color="auto" w:fill="FFFFFF"/>
            <w:vAlign w:val="center"/>
          </w:tcPr>
          <w:p w14:paraId="78B96998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F/XII</w:t>
            </w:r>
          </w:p>
        </w:tc>
        <w:tc>
          <w:tcPr>
            <w:tcW w:w="3888" w:type="dxa"/>
            <w:shd w:val="clear" w:color="auto" w:fill="FFFFFF"/>
            <w:vAlign w:val="center"/>
          </w:tcPr>
          <w:p w14:paraId="38692C43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Disajikan artikel evaluasi program pengentasan kemiskinan di Kota Surabaya beserta tabel perkembangan, murid dapat menganalisis keunggulan wawancara mendalam dibanding data angka</w:t>
            </w:r>
          </w:p>
        </w:tc>
        <w:tc>
          <w:tcPr>
            <w:tcW w:w="1584" w:type="dxa"/>
            <w:shd w:val="clear" w:color="auto" w:fill="FFFFFF"/>
            <w:vAlign w:val="center"/>
          </w:tcPr>
          <w:p w14:paraId="01C026C7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L3 (penalaran) / C4</w:t>
            </w:r>
          </w:p>
        </w:tc>
        <w:tc>
          <w:tcPr>
            <w:tcW w:w="1584" w:type="dxa"/>
            <w:shd w:val="clear" w:color="auto" w:fill="FFFFFF"/>
            <w:vAlign w:val="center"/>
          </w:tcPr>
          <w:p w14:paraId="1A2A13C8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Pilihan Ganda Kompleks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020E3105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17</w:t>
            </w:r>
          </w:p>
        </w:tc>
      </w:tr>
      <w:tr w14:paraId="1D5DB8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6" w:type="dxa"/>
            <w:shd w:val="clear" w:color="auto" w:fill="F2F2F2"/>
            <w:vAlign w:val="center"/>
          </w:tcPr>
          <w:p w14:paraId="15DAE5AA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18</w:t>
            </w:r>
          </w:p>
        </w:tc>
        <w:tc>
          <w:tcPr>
            <w:tcW w:w="3312" w:type="dxa"/>
            <w:shd w:val="clear" w:color="auto" w:fill="F2F2F2"/>
            <w:vAlign w:val="center"/>
          </w:tcPr>
          <w:p w14:paraId="4F3418A6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Peserta didik mampu menginterpretasikan data hasil penelitian sosial untuk memprediksi kecenderungan fenomena sosial</w:t>
            </w:r>
          </w:p>
        </w:tc>
        <w:tc>
          <w:tcPr>
            <w:tcW w:w="2016" w:type="dxa"/>
            <w:shd w:val="clear" w:color="auto" w:fill="F2F2F2"/>
            <w:vAlign w:val="center"/>
          </w:tcPr>
          <w:p w14:paraId="5D0A0418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Fungsi dan Manfaat Penelitian Sosial</w:t>
            </w:r>
          </w:p>
        </w:tc>
        <w:tc>
          <w:tcPr>
            <w:tcW w:w="1008" w:type="dxa"/>
            <w:shd w:val="clear" w:color="auto" w:fill="F2F2F2"/>
            <w:vAlign w:val="center"/>
          </w:tcPr>
          <w:p w14:paraId="73F386DE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F/XII</w:t>
            </w:r>
          </w:p>
        </w:tc>
        <w:tc>
          <w:tcPr>
            <w:tcW w:w="3888" w:type="dxa"/>
            <w:shd w:val="clear" w:color="auto" w:fill="F2F2F2"/>
            <w:vAlign w:val="center"/>
          </w:tcPr>
          <w:p w14:paraId="3FA57491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Disajikan data korelasi antara pelatihan wirausaha dan kemandirian ekonomi penerima bantuan, murid dapat menginterpretasikan tren efektivitas program</w:t>
            </w:r>
          </w:p>
        </w:tc>
        <w:tc>
          <w:tcPr>
            <w:tcW w:w="1584" w:type="dxa"/>
            <w:shd w:val="clear" w:color="auto" w:fill="F2F2F2"/>
            <w:vAlign w:val="center"/>
          </w:tcPr>
          <w:p w14:paraId="680640FC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L3 (penalaran) / C4</w:t>
            </w:r>
          </w:p>
        </w:tc>
        <w:tc>
          <w:tcPr>
            <w:tcW w:w="1584" w:type="dxa"/>
            <w:shd w:val="clear" w:color="auto" w:fill="F2F2F2"/>
            <w:vAlign w:val="center"/>
          </w:tcPr>
          <w:p w14:paraId="6C263A6D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Pilihan Ganda</w:t>
            </w:r>
          </w:p>
        </w:tc>
        <w:tc>
          <w:tcPr>
            <w:tcW w:w="720" w:type="dxa"/>
            <w:shd w:val="clear" w:color="auto" w:fill="F2F2F2"/>
            <w:vAlign w:val="center"/>
          </w:tcPr>
          <w:p w14:paraId="5F4A7704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18</w:t>
            </w:r>
          </w:p>
        </w:tc>
      </w:tr>
      <w:tr w14:paraId="72CB93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6" w:type="dxa"/>
            <w:shd w:val="clear" w:color="auto" w:fill="FFFFFF"/>
            <w:vAlign w:val="center"/>
          </w:tcPr>
          <w:p w14:paraId="6C297E24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19</w:t>
            </w:r>
          </w:p>
        </w:tc>
        <w:tc>
          <w:tcPr>
            <w:tcW w:w="3312" w:type="dxa"/>
            <w:shd w:val="clear" w:color="auto" w:fill="FFFFFF"/>
            <w:vAlign w:val="center"/>
          </w:tcPr>
          <w:p w14:paraId="1235D73A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Peserta didik mampu mengevaluasi validitas kontribusi ilmiah dari hasil penelitian sosial bagi pengembangan ilmu sosiologi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78DFFE0F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Fungsi dan Manfaat Penelitian Sosial</w:t>
            </w:r>
          </w:p>
        </w:tc>
        <w:tc>
          <w:tcPr>
            <w:tcW w:w="1008" w:type="dxa"/>
            <w:shd w:val="clear" w:color="auto" w:fill="FFFFFF"/>
            <w:vAlign w:val="center"/>
          </w:tcPr>
          <w:p w14:paraId="4C8A06D8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F/XII</w:t>
            </w:r>
          </w:p>
        </w:tc>
        <w:tc>
          <w:tcPr>
            <w:tcW w:w="3888" w:type="dxa"/>
            <w:shd w:val="clear" w:color="auto" w:fill="FFFFFF"/>
            <w:vAlign w:val="center"/>
          </w:tcPr>
          <w:p w14:paraId="20270DC9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Disajikan laporan temuan riset tentang dampak psikologis stigma sosial, murid dapat mengevaluasi manfaat teoritis temuan tersebut bagi literatur sosiologi</w:t>
            </w:r>
          </w:p>
        </w:tc>
        <w:tc>
          <w:tcPr>
            <w:tcW w:w="1584" w:type="dxa"/>
            <w:shd w:val="clear" w:color="auto" w:fill="FFFFFF"/>
            <w:vAlign w:val="center"/>
          </w:tcPr>
          <w:p w14:paraId="2260BE03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L3 (penalaran) / C5</w:t>
            </w:r>
          </w:p>
        </w:tc>
        <w:tc>
          <w:tcPr>
            <w:tcW w:w="1584" w:type="dxa"/>
            <w:shd w:val="clear" w:color="auto" w:fill="FFFFFF"/>
            <w:vAlign w:val="center"/>
          </w:tcPr>
          <w:p w14:paraId="601B835B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Pilihan Ganda Kompleks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3DBBF79E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19</w:t>
            </w:r>
          </w:p>
        </w:tc>
      </w:tr>
      <w:tr w14:paraId="7E8B7B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6" w:type="dxa"/>
            <w:shd w:val="clear" w:color="auto" w:fill="F2F2F2"/>
            <w:vAlign w:val="center"/>
          </w:tcPr>
          <w:p w14:paraId="26FE0E65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20</w:t>
            </w:r>
          </w:p>
        </w:tc>
        <w:tc>
          <w:tcPr>
            <w:tcW w:w="3312" w:type="dxa"/>
            <w:shd w:val="clear" w:color="auto" w:fill="F2F2F2"/>
            <w:vAlign w:val="center"/>
          </w:tcPr>
          <w:p w14:paraId="7C1C37C1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Peserta didik mampu merekomendasikan pemanfaatan hasil penelitian sosial untuk pemecahan masalah lingkungan sekitar</w:t>
            </w:r>
          </w:p>
        </w:tc>
        <w:tc>
          <w:tcPr>
            <w:tcW w:w="2016" w:type="dxa"/>
            <w:shd w:val="clear" w:color="auto" w:fill="F2F2F2"/>
            <w:vAlign w:val="center"/>
          </w:tcPr>
          <w:p w14:paraId="5438B772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Fungsi dan Manfaat Penelitian Sosial</w:t>
            </w:r>
          </w:p>
        </w:tc>
        <w:tc>
          <w:tcPr>
            <w:tcW w:w="1008" w:type="dxa"/>
            <w:shd w:val="clear" w:color="auto" w:fill="F2F2F2"/>
            <w:vAlign w:val="center"/>
          </w:tcPr>
          <w:p w14:paraId="1A81FEF4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F/XII</w:t>
            </w:r>
          </w:p>
        </w:tc>
        <w:tc>
          <w:tcPr>
            <w:tcW w:w="3888" w:type="dxa"/>
            <w:shd w:val="clear" w:color="auto" w:fill="F2F2F2"/>
            <w:vAlign w:val="center"/>
          </w:tcPr>
          <w:p w14:paraId="7C4CEB16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Disajikan ringkasan solusi riset kemiskinan kota, murid dapat merekomendasikan bentuk intervensi sosial yang tepat untuk pemukiman padat penduduk</w:t>
            </w:r>
          </w:p>
        </w:tc>
        <w:tc>
          <w:tcPr>
            <w:tcW w:w="1584" w:type="dxa"/>
            <w:shd w:val="clear" w:color="auto" w:fill="F2F2F2"/>
            <w:vAlign w:val="center"/>
          </w:tcPr>
          <w:p w14:paraId="53E6702E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L3 (penalaran) / C6</w:t>
            </w:r>
          </w:p>
        </w:tc>
        <w:tc>
          <w:tcPr>
            <w:tcW w:w="1584" w:type="dxa"/>
            <w:shd w:val="clear" w:color="auto" w:fill="F2F2F2"/>
            <w:vAlign w:val="center"/>
          </w:tcPr>
          <w:p w14:paraId="5381C10D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Pilihan Ganda</w:t>
            </w:r>
          </w:p>
        </w:tc>
        <w:tc>
          <w:tcPr>
            <w:tcW w:w="720" w:type="dxa"/>
            <w:shd w:val="clear" w:color="auto" w:fill="F2F2F2"/>
            <w:vAlign w:val="center"/>
          </w:tcPr>
          <w:p w14:paraId="52AE10D4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20</w:t>
            </w:r>
          </w:p>
        </w:tc>
      </w:tr>
      <w:tr w14:paraId="6E8584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6" w:type="dxa"/>
            <w:shd w:val="clear" w:color="auto" w:fill="FFFFFF"/>
            <w:vAlign w:val="center"/>
          </w:tcPr>
          <w:p w14:paraId="4250E91C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21</w:t>
            </w:r>
          </w:p>
        </w:tc>
        <w:tc>
          <w:tcPr>
            <w:tcW w:w="3312" w:type="dxa"/>
            <w:shd w:val="clear" w:color="auto" w:fill="FFFFFF"/>
            <w:vAlign w:val="center"/>
          </w:tcPr>
          <w:p w14:paraId="39FFE8CE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Peserta didik mampu mengevaluasi dampak globalisasi terhadap ketimpangan sosial dalam masyarakat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2BBCA04A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Globalisasi dan Ketimpangan Sosial</w:t>
            </w:r>
          </w:p>
        </w:tc>
        <w:tc>
          <w:tcPr>
            <w:tcW w:w="1008" w:type="dxa"/>
            <w:shd w:val="clear" w:color="auto" w:fill="FFFFFF"/>
            <w:vAlign w:val="center"/>
          </w:tcPr>
          <w:p w14:paraId="442BD5A8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F/XII</w:t>
            </w:r>
          </w:p>
        </w:tc>
        <w:tc>
          <w:tcPr>
            <w:tcW w:w="3888" w:type="dxa"/>
            <w:shd w:val="clear" w:color="auto" w:fill="FFFFFF"/>
            <w:vAlign w:val="center"/>
          </w:tcPr>
          <w:p w14:paraId="60746CA4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Disajikan ilustrasi masuknya perusahaan multinasional dan disparitas upah pekerja lokal, murid dapat mengevaluasi penyebab timbulnya kesenjangan sosial akibat pembangunan tidak merata</w:t>
            </w:r>
          </w:p>
        </w:tc>
        <w:tc>
          <w:tcPr>
            <w:tcW w:w="1584" w:type="dxa"/>
            <w:shd w:val="clear" w:color="auto" w:fill="FFFFFF"/>
            <w:vAlign w:val="center"/>
          </w:tcPr>
          <w:p w14:paraId="652EC335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L3 (penalaran) / C5</w:t>
            </w:r>
          </w:p>
        </w:tc>
        <w:tc>
          <w:tcPr>
            <w:tcW w:w="1584" w:type="dxa"/>
            <w:shd w:val="clear" w:color="auto" w:fill="FFFFFF"/>
            <w:vAlign w:val="center"/>
          </w:tcPr>
          <w:p w14:paraId="633FCD9C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Pilihan Ganda Kompleks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4067B052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21</w:t>
            </w:r>
          </w:p>
        </w:tc>
      </w:tr>
      <w:tr w14:paraId="6C82CA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6" w:type="dxa"/>
            <w:shd w:val="clear" w:color="auto" w:fill="F2F2F2"/>
            <w:vAlign w:val="center"/>
          </w:tcPr>
          <w:p w14:paraId="40381C9A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22</w:t>
            </w:r>
          </w:p>
        </w:tc>
        <w:tc>
          <w:tcPr>
            <w:tcW w:w="3312" w:type="dxa"/>
            <w:shd w:val="clear" w:color="auto" w:fill="F2F2F2"/>
            <w:vAlign w:val="center"/>
          </w:tcPr>
          <w:p w14:paraId="73FCA7DF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Peserta didik mampu menganalisis hubungan antara akses teknologi/pendidikan dengan ketimpangan kesempatan kerja</w:t>
            </w:r>
          </w:p>
        </w:tc>
        <w:tc>
          <w:tcPr>
            <w:tcW w:w="2016" w:type="dxa"/>
            <w:shd w:val="clear" w:color="auto" w:fill="F2F2F2"/>
            <w:vAlign w:val="center"/>
          </w:tcPr>
          <w:p w14:paraId="16CF968E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Globalisasi dan Ketimpangan Sosial</w:t>
            </w:r>
          </w:p>
        </w:tc>
        <w:tc>
          <w:tcPr>
            <w:tcW w:w="1008" w:type="dxa"/>
            <w:shd w:val="clear" w:color="auto" w:fill="F2F2F2"/>
            <w:vAlign w:val="center"/>
          </w:tcPr>
          <w:p w14:paraId="01F5C45B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F/XII</w:t>
            </w:r>
          </w:p>
        </w:tc>
        <w:tc>
          <w:tcPr>
            <w:tcW w:w="3888" w:type="dxa"/>
            <w:shd w:val="clear" w:color="auto" w:fill="F2F2F2"/>
            <w:vAlign w:val="center"/>
          </w:tcPr>
          <w:p w14:paraId="44B2EA56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Disajikan fenomena digitalisasi pekerjaan dan keterbatasan infrastruktur di daerah terpencil, murid dapat menganalisis faktor pemicu pelebaran kesenjangan ekonomi pedesaan-perkotaan</w:t>
            </w:r>
          </w:p>
        </w:tc>
        <w:tc>
          <w:tcPr>
            <w:tcW w:w="1584" w:type="dxa"/>
            <w:shd w:val="clear" w:color="auto" w:fill="F2F2F2"/>
            <w:vAlign w:val="center"/>
          </w:tcPr>
          <w:p w14:paraId="5051D8ED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L3 (penalaran) / C4</w:t>
            </w:r>
          </w:p>
        </w:tc>
        <w:tc>
          <w:tcPr>
            <w:tcW w:w="1584" w:type="dxa"/>
            <w:shd w:val="clear" w:color="auto" w:fill="F2F2F2"/>
            <w:vAlign w:val="center"/>
          </w:tcPr>
          <w:p w14:paraId="5F8B5288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Pilihan Ganda</w:t>
            </w:r>
          </w:p>
        </w:tc>
        <w:tc>
          <w:tcPr>
            <w:tcW w:w="720" w:type="dxa"/>
            <w:shd w:val="clear" w:color="auto" w:fill="F2F2F2"/>
            <w:vAlign w:val="center"/>
          </w:tcPr>
          <w:p w14:paraId="11EC0400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22</w:t>
            </w:r>
          </w:p>
        </w:tc>
      </w:tr>
      <w:tr w14:paraId="09C25F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6" w:type="dxa"/>
            <w:shd w:val="clear" w:color="auto" w:fill="FFFFFF"/>
            <w:vAlign w:val="center"/>
          </w:tcPr>
          <w:p w14:paraId="3E9D1795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23</w:t>
            </w:r>
          </w:p>
        </w:tc>
        <w:tc>
          <w:tcPr>
            <w:tcW w:w="3312" w:type="dxa"/>
            <w:shd w:val="clear" w:color="auto" w:fill="FFFFFF"/>
            <w:vAlign w:val="center"/>
          </w:tcPr>
          <w:p w14:paraId="4B47394A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Peserta didik mampu mengevaluasi dampak marjinalisasi kelompok rentan di era persaingan ekonomi global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52974C63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Globalisasi dan Ketimpangan Sosial</w:t>
            </w:r>
          </w:p>
        </w:tc>
        <w:tc>
          <w:tcPr>
            <w:tcW w:w="1008" w:type="dxa"/>
            <w:shd w:val="clear" w:color="auto" w:fill="FFFFFF"/>
            <w:vAlign w:val="center"/>
          </w:tcPr>
          <w:p w14:paraId="0C854B74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F/XII</w:t>
            </w:r>
          </w:p>
        </w:tc>
        <w:tc>
          <w:tcPr>
            <w:tcW w:w="3888" w:type="dxa"/>
            <w:shd w:val="clear" w:color="auto" w:fill="FFFFFF"/>
            <w:vAlign w:val="center"/>
          </w:tcPr>
          <w:p w14:paraId="070BEEA3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Disajikan data penetrasi pasar modern terhadap eksistensi pedagang tradisional, murid dapat mengevaluasi bentuk ketimpangan struktur ekonomi yang terjadi</w:t>
            </w:r>
          </w:p>
        </w:tc>
        <w:tc>
          <w:tcPr>
            <w:tcW w:w="1584" w:type="dxa"/>
            <w:shd w:val="clear" w:color="auto" w:fill="FFFFFF"/>
            <w:vAlign w:val="center"/>
          </w:tcPr>
          <w:p w14:paraId="4524B6DF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L3 (penalaran) / C5</w:t>
            </w:r>
          </w:p>
        </w:tc>
        <w:tc>
          <w:tcPr>
            <w:tcW w:w="1584" w:type="dxa"/>
            <w:shd w:val="clear" w:color="auto" w:fill="FFFFFF"/>
            <w:vAlign w:val="center"/>
          </w:tcPr>
          <w:p w14:paraId="16F7F608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Pilihan Ganda Kompleks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626FF7E3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23</w:t>
            </w:r>
          </w:p>
        </w:tc>
      </w:tr>
      <w:tr w14:paraId="736AEE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6" w:type="dxa"/>
            <w:shd w:val="clear" w:color="auto" w:fill="F2F2F2"/>
            <w:vAlign w:val="center"/>
          </w:tcPr>
          <w:p w14:paraId="3B293532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24</w:t>
            </w:r>
          </w:p>
        </w:tc>
        <w:tc>
          <w:tcPr>
            <w:tcW w:w="3312" w:type="dxa"/>
            <w:shd w:val="clear" w:color="auto" w:fill="F2F2F2"/>
            <w:vAlign w:val="center"/>
          </w:tcPr>
          <w:p w14:paraId="4B8C1ACD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Peserta didik mampu menganalisis pergeseran nilai budaya lokal akibat pengaruh komodifikasi di era globalisasi</w:t>
            </w:r>
          </w:p>
        </w:tc>
        <w:tc>
          <w:tcPr>
            <w:tcW w:w="2016" w:type="dxa"/>
            <w:shd w:val="clear" w:color="auto" w:fill="F2F2F2"/>
            <w:vAlign w:val="center"/>
          </w:tcPr>
          <w:p w14:paraId="58AC76D0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Globalisasi dan Ketimpangan Sosial</w:t>
            </w:r>
          </w:p>
        </w:tc>
        <w:tc>
          <w:tcPr>
            <w:tcW w:w="1008" w:type="dxa"/>
            <w:shd w:val="clear" w:color="auto" w:fill="F2F2F2"/>
            <w:vAlign w:val="center"/>
          </w:tcPr>
          <w:p w14:paraId="14085F6D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F/XII</w:t>
            </w:r>
          </w:p>
        </w:tc>
        <w:tc>
          <w:tcPr>
            <w:tcW w:w="3888" w:type="dxa"/>
            <w:shd w:val="clear" w:color="auto" w:fill="F2F2F2"/>
            <w:vAlign w:val="center"/>
          </w:tcPr>
          <w:p w14:paraId="6A26D728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Disajikan kasus perubahan gaya hidup konsumtif masyarakat urban, murid dapat menganalisis konsekuensi perubahan sosial terhadap pola interaksi sosial</w:t>
            </w:r>
          </w:p>
        </w:tc>
        <w:tc>
          <w:tcPr>
            <w:tcW w:w="1584" w:type="dxa"/>
            <w:shd w:val="clear" w:color="auto" w:fill="F2F2F2"/>
            <w:vAlign w:val="center"/>
          </w:tcPr>
          <w:p w14:paraId="74F76EF5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L3 (penalaran) / C4</w:t>
            </w:r>
          </w:p>
        </w:tc>
        <w:tc>
          <w:tcPr>
            <w:tcW w:w="1584" w:type="dxa"/>
            <w:shd w:val="clear" w:color="auto" w:fill="F2F2F2"/>
            <w:vAlign w:val="center"/>
          </w:tcPr>
          <w:p w14:paraId="6AD26870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Pilihan Ganda Kompleks</w:t>
            </w:r>
          </w:p>
        </w:tc>
        <w:tc>
          <w:tcPr>
            <w:tcW w:w="720" w:type="dxa"/>
            <w:shd w:val="clear" w:color="auto" w:fill="F2F2F2"/>
            <w:vAlign w:val="center"/>
          </w:tcPr>
          <w:p w14:paraId="34987FF4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24</w:t>
            </w:r>
          </w:p>
        </w:tc>
      </w:tr>
      <w:tr w14:paraId="51715F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6" w:type="dxa"/>
            <w:shd w:val="clear" w:color="auto" w:fill="FFFFFF"/>
            <w:vAlign w:val="center"/>
          </w:tcPr>
          <w:p w14:paraId="3C9BBA1A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25</w:t>
            </w:r>
          </w:p>
        </w:tc>
        <w:tc>
          <w:tcPr>
            <w:tcW w:w="3312" w:type="dxa"/>
            <w:shd w:val="clear" w:color="auto" w:fill="FFFFFF"/>
            <w:vAlign w:val="center"/>
          </w:tcPr>
          <w:p w14:paraId="61BE39C4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Peserta didik mampu merumuskan strategi adaptasi dan perlindungan sosial untuk mengatasi ketimpangan akibat globalisasi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5549FAE1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Globalisasi dan Ketimpangan Sosial</w:t>
            </w:r>
          </w:p>
        </w:tc>
        <w:tc>
          <w:tcPr>
            <w:tcW w:w="1008" w:type="dxa"/>
            <w:shd w:val="clear" w:color="auto" w:fill="FFFFFF"/>
            <w:vAlign w:val="center"/>
          </w:tcPr>
          <w:p w14:paraId="37435B23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F/XII</w:t>
            </w:r>
          </w:p>
        </w:tc>
        <w:tc>
          <w:tcPr>
            <w:tcW w:w="3888" w:type="dxa"/>
            <w:shd w:val="clear" w:color="auto" w:fill="FFFFFF"/>
            <w:vAlign w:val="center"/>
          </w:tcPr>
          <w:p w14:paraId="20917E59">
            <w:pPr>
              <w:spacing w:before="60" w:after="60"/>
              <w:jc w:val="left"/>
            </w:pPr>
            <w:r>
              <w:rPr>
                <w:rFonts w:ascii="Arial" w:hAnsi="Arial"/>
                <w:sz w:val="17"/>
              </w:rPr>
              <w:t>Disajikan tantangan persaingan tenaga kerja lokal di pasar global, murid dapat merumuskan kebijakan perlindungan hak pekerja dan pemerataan pendidikan digital</w:t>
            </w:r>
          </w:p>
        </w:tc>
        <w:tc>
          <w:tcPr>
            <w:tcW w:w="1584" w:type="dxa"/>
            <w:shd w:val="clear" w:color="auto" w:fill="FFFFFF"/>
            <w:vAlign w:val="center"/>
          </w:tcPr>
          <w:p w14:paraId="080E569A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L3 (penalaran) / C6</w:t>
            </w:r>
          </w:p>
        </w:tc>
        <w:tc>
          <w:tcPr>
            <w:tcW w:w="1584" w:type="dxa"/>
            <w:shd w:val="clear" w:color="auto" w:fill="FFFFFF"/>
            <w:vAlign w:val="center"/>
          </w:tcPr>
          <w:p w14:paraId="66D41A32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Pilihan Ganda Kompleks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6247ABC1">
            <w:pPr>
              <w:spacing w:before="60" w:after="60"/>
              <w:jc w:val="center"/>
            </w:pPr>
            <w:r>
              <w:rPr>
                <w:rFonts w:ascii="Arial" w:hAnsi="Arial"/>
                <w:sz w:val="17"/>
              </w:rPr>
              <w:t>25</w:t>
            </w:r>
          </w:p>
        </w:tc>
      </w:tr>
    </w:tbl>
    <w:p w14:paraId="3D1298E0">
      <w:pPr>
        <w:spacing w:before="360"/>
      </w:pPr>
    </w:p>
    <w:tbl>
      <w:tblPr>
        <w:tblStyle w:val="1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7"/>
        <w:gridCol w:w="7337"/>
      </w:tblGrid>
      <w:tr w14:paraId="4151CA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8" w:type="dxa"/>
          </w:tcPr>
          <w:p w14:paraId="1B63B127"/>
        </w:tc>
        <w:tc>
          <w:tcPr>
            <w:tcW w:w="4320" w:type="dxa"/>
          </w:tcPr>
          <w:p w14:paraId="6FF796A1">
            <w:pPr>
              <w:spacing w:line="276" w:lineRule="auto"/>
              <w:jc w:val="left"/>
            </w:pPr>
            <w:bookmarkStart w:id="0" w:name="_GoBack"/>
            <w:bookmarkEnd w:id="0"/>
            <w:r>
              <w:rPr>
                <w:rFonts w:ascii="Arial" w:hAnsi="Arial"/>
                <w:sz w:val="19"/>
              </w:rPr>
              <w:br w:type="textWrapping"/>
            </w:r>
            <w:r>
              <w:rPr>
                <w:rFonts w:ascii="Arial" w:hAnsi="Arial"/>
                <w:sz w:val="19"/>
              </w:rPr>
              <w:t>Penulis Soal,</w:t>
            </w:r>
            <w:r>
              <w:rPr>
                <w:rFonts w:ascii="Arial" w:hAnsi="Arial"/>
                <w:sz w:val="19"/>
              </w:rPr>
              <w:br w:type="textWrapping"/>
            </w:r>
            <w:r>
              <w:rPr>
                <w:rFonts w:ascii="Arial" w:hAnsi="Arial"/>
                <w:sz w:val="19"/>
              </w:rPr>
              <w:br w:type="textWrapping"/>
            </w:r>
            <w:r>
              <w:rPr>
                <w:rFonts w:ascii="Arial" w:hAnsi="Arial"/>
                <w:sz w:val="19"/>
              </w:rPr>
              <w:br w:type="textWrapping"/>
            </w:r>
            <w:r>
              <w:rPr>
                <w:rFonts w:ascii="Arial" w:hAnsi="Arial"/>
                <w:sz w:val="19"/>
              </w:rPr>
              <w:br w:type="textWrapping"/>
            </w:r>
            <w:r>
              <w:rPr>
                <w:rFonts w:ascii="Arial" w:hAnsi="Arial"/>
                <w:b/>
                <w:sz w:val="19"/>
              </w:rPr>
              <w:t>Zakia Tutdin, M.Sos</w:t>
            </w:r>
          </w:p>
        </w:tc>
      </w:tr>
    </w:tbl>
    <w:p w14:paraId="095F275F"/>
    <w:sectPr>
      <w:pgSz w:w="16834" w:h="11909" w:orient="landscape"/>
      <w:pgMar w:top="1080" w:right="1080" w:bottom="1080" w:left="108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6A66A9A"/>
    <w:rsid w:val="51183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unhideWhenUsed="0" w:uiPriority="67" w:semiHidden="0" w:name="Medium Grid 1 Accent 4"/>
    <w:lsdException w:qFormat="1" w:unhideWhenUsed="0" w:uiPriority="68" w:semiHidden="0" w:name="Medium Grid 2 Accent 4"/>
    <w:lsdException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Theme="minorEastAsia" w:cstheme="minorBidi"/>
      <w:sz w:val="19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qFormat/>
    <w:uiPriority w:val="99"/>
    <w:pPr>
      <w:spacing w:after="120"/>
    </w:pPr>
  </w:style>
  <w:style w:type="paragraph" w:styleId="14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6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7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Header Char"/>
    <w:basedOn w:val="11"/>
    <w:link w:val="19"/>
    <w:qFormat/>
    <w:uiPriority w:val="99"/>
  </w:style>
  <w:style w:type="character" w:customStyle="1" w:styleId="136">
    <w:name w:val="Footer Char"/>
    <w:basedOn w:val="11"/>
    <w:link w:val="18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1"/>
    <w:link w:val="36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1"/>
    <w:link w:val="3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1"/>
    <w:link w:val="13"/>
    <w:qFormat/>
    <w:uiPriority w:val="99"/>
  </w:style>
  <w:style w:type="character" w:customStyle="1" w:styleId="145">
    <w:name w:val="Body Text 2 Char"/>
    <w:basedOn w:val="11"/>
    <w:link w:val="14"/>
    <w:qFormat/>
    <w:uiPriority w:val="99"/>
  </w:style>
  <w:style w:type="character" w:customStyle="1" w:styleId="146">
    <w:name w:val="Body Text 3 Char"/>
    <w:basedOn w:val="11"/>
    <w:link w:val="15"/>
    <w:qFormat/>
    <w:uiPriority w:val="99"/>
    <w:rPr>
      <w:sz w:val="16"/>
      <w:szCs w:val="16"/>
    </w:rPr>
  </w:style>
  <w:style w:type="character" w:customStyle="1" w:styleId="147">
    <w:name w:val="Macro Text Char"/>
    <w:basedOn w:val="11"/>
    <w:link w:val="3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1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1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1208</Words>
  <Characters>8080</Characters>
  <Lines>0</Lines>
  <Paragraphs>0</Paragraphs>
  <TotalTime>5</TotalTime>
  <ScaleCrop>false</ScaleCrop>
  <LinksUpToDate>false</LinksUpToDate>
  <CharactersWithSpaces>9087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zakia</cp:lastModifiedBy>
  <dcterms:modified xsi:type="dcterms:W3CDTF">2026-09-15T02:19:02Z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eyJoZGlkIjoiOWE2NzM2ZDQ0ZmYyNTY1MWNlMmVmZmJkMzU2YWQxMGEifQ==</vt:lpwstr>
  </property>
  <property fmtid="{D5CDD505-2E9C-101B-9397-08002B2CF9AE}" pid="3" name="KSOProductBuildVer">
    <vt:lpwstr>1033-12.1.0.28485</vt:lpwstr>
  </property>
  <property fmtid="{D5CDD505-2E9C-101B-9397-08002B2CF9AE}" pid="4" name="ICV">
    <vt:lpwstr>BB115D95CF6B4281A8212F9DA6F3F93E_13</vt:lpwstr>
  </property>
</Properties>
</file>